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B9D7" w14:textId="6F725251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5241B70E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proofErr w:type="gramEnd"/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4FCEC6F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2D7A11" w:rsidRPr="002D7A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Учет торговых операций с применением автоматизированных систем на платформе 1Сv8.3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0B6FAAB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Краснодар, ул. Северная, 303, офис 406.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198ECAB" w14:textId="091EA1A5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="00D02BC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00,00 руб.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D02BC2">
        <w:rPr>
          <w:rFonts w:ascii="Times New Roman" w:hAnsi="Times New Roman"/>
          <w:color w:val="000000"/>
          <w:sz w:val="24"/>
          <w:szCs w:val="24"/>
          <w:highlight w:val="white"/>
        </w:rPr>
        <w:t>Десять</w:t>
      </w:r>
      <w:r w:rsidR="009A641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восемьсот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2BC26C0" w14:textId="2D029181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D02BC2">
        <w:rPr>
          <w:rFonts w:ascii="Times New Roman" w:hAnsi="Times New Roman"/>
          <w:color w:val="000000"/>
          <w:sz w:val="24"/>
          <w:szCs w:val="24"/>
          <w:highlight w:val="white"/>
        </w:rPr>
        <w:t>0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="009A6413">
        <w:rPr>
          <w:rFonts w:ascii="Times New Roman" w:hAnsi="Times New Roman"/>
          <w:color w:val="000000"/>
          <w:sz w:val="24"/>
          <w:szCs w:val="24"/>
          <w:highlight w:val="white"/>
        </w:rPr>
        <w:t>8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00,00 руб.  (</w:t>
      </w:r>
      <w:r w:rsidR="00D02BC2">
        <w:rPr>
          <w:rFonts w:ascii="Times New Roman" w:hAnsi="Times New Roman"/>
          <w:color w:val="000000"/>
          <w:sz w:val="24"/>
          <w:szCs w:val="24"/>
          <w:highlight w:val="white"/>
        </w:rPr>
        <w:t>Десять</w:t>
      </w:r>
      <w:r w:rsidR="009A641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восемьсот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</w:t>
      </w:r>
    </w:p>
    <w:p w14:paraId="77276A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1.Невыполнении</w:t>
      </w:r>
      <w:proofErr w:type="gramEnd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2.Ни</w:t>
      </w:r>
      <w:proofErr w:type="gramEnd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Адрес:350015, Краснодарский край, Краснодар г, Северная </w:t>
      </w:r>
      <w:proofErr w:type="spellStart"/>
      <w:r w:rsidRPr="000B6D3B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0B6D3B">
        <w:rPr>
          <w:rFonts w:ascii="Times New Roman" w:hAnsi="Times New Roman"/>
          <w:sz w:val="24"/>
          <w:szCs w:val="24"/>
          <w:highlight w:val="white"/>
        </w:rPr>
        <w:t>, дом 303, офис 406</w:t>
      </w:r>
    </w:p>
    <w:p w14:paraId="286BC78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231001001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9A6413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9A6413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9A6413">
        <w:rPr>
          <w:rFonts w:ascii="Times New Roman" w:hAnsi="Times New Roman"/>
          <w:sz w:val="24"/>
          <w:szCs w:val="24"/>
          <w:highlight w:val="white"/>
        </w:rPr>
        <w:t>:</w:t>
      </w:r>
      <w:r w:rsidRPr="009A6413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9A6413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B6D3B">
        <w:rPr>
          <w:rFonts w:ascii="Times New Roman" w:hAnsi="Times New Roman"/>
          <w:sz w:val="24"/>
          <w:szCs w:val="24"/>
          <w:highlight w:val="white"/>
        </w:rPr>
        <w:t>Адрес:_</w:t>
      </w:r>
      <w:proofErr w:type="gramEnd"/>
      <w:r w:rsidRPr="000B6D3B">
        <w:rPr>
          <w:rFonts w:ascii="Times New Roman" w:hAnsi="Times New Roman"/>
          <w:sz w:val="24"/>
          <w:szCs w:val="24"/>
          <w:highlight w:val="white"/>
        </w:rPr>
        <w:t>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6572ED44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ДП120-</w:t>
            </w:r>
            <w:r>
              <w:rPr>
                <w:sz w:val="20"/>
                <w:szCs w:val="20"/>
              </w:rPr>
              <w:t>2</w:t>
            </w:r>
            <w:r w:rsidRPr="002D7A1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proofErr w:type="gramStart"/>
            <w:r>
              <w:rPr>
                <w:sz w:val="20"/>
                <w:szCs w:val="20"/>
              </w:rPr>
              <w:t>«  »</w:t>
            </w:r>
            <w:proofErr w:type="gramEnd"/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2020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08DE7B65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>
              <w:t xml:space="preserve"> </w:t>
            </w:r>
            <w:r w:rsidRPr="002D7A11">
              <w:rPr>
                <w:szCs w:val="16"/>
              </w:rPr>
              <w:t xml:space="preserve">Учет торговых операций с применением автоматизированных систем на платформе 1Сv8.3" в объеме 80 учебных часов с </w:t>
            </w:r>
            <w:r>
              <w:rPr>
                <w:szCs w:val="16"/>
              </w:rPr>
              <w:t>«____»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 xml:space="preserve">2020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2020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2A609ADC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>
              <w:rPr>
                <w:szCs w:val="16"/>
              </w:rPr>
              <w:t>0</w:t>
            </w:r>
            <w:r w:rsidRPr="002D7A11">
              <w:rPr>
                <w:szCs w:val="16"/>
              </w:rPr>
              <w:t> </w:t>
            </w:r>
            <w:r>
              <w:rPr>
                <w:szCs w:val="16"/>
              </w:rPr>
              <w:t>8</w:t>
            </w:r>
            <w:r w:rsidRPr="002D7A11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5F3AADB5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>
              <w:rPr>
                <w:szCs w:val="16"/>
              </w:rPr>
              <w:t>0</w:t>
            </w:r>
            <w:r w:rsidRPr="002D7A11">
              <w:rPr>
                <w:szCs w:val="16"/>
              </w:rPr>
              <w:t> </w:t>
            </w:r>
            <w:r>
              <w:rPr>
                <w:szCs w:val="16"/>
              </w:rPr>
              <w:t>8</w:t>
            </w:r>
            <w:r w:rsidRPr="002D7A11">
              <w:rPr>
                <w:szCs w:val="16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15D2BAA3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2D7A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5B65D708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2D7A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1EDDC80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D88AD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43533957" w14:textId="1C4A1FDD" w:rsidR="002D7A11" w:rsidRPr="002D7A11" w:rsidRDefault="002D7A11" w:rsidP="002D7A11">
            <w:pPr>
              <w:rPr>
                <w:sz w:val="18"/>
                <w:szCs w:val="18"/>
              </w:rPr>
            </w:pPr>
            <w:r w:rsidRPr="002D7A11">
              <w:rPr>
                <w:sz w:val="18"/>
                <w:szCs w:val="18"/>
              </w:rPr>
              <w:t>Всего наименований 1, на сумму 1</w:t>
            </w:r>
            <w:r>
              <w:rPr>
                <w:sz w:val="18"/>
                <w:szCs w:val="18"/>
              </w:rPr>
              <w:t>0</w:t>
            </w:r>
            <w:r w:rsidRPr="002D7A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Pr="002D7A11">
              <w:rPr>
                <w:sz w:val="18"/>
                <w:szCs w:val="18"/>
              </w:rPr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ACB9346" w14:textId="77777777" w:rsidR="002D7A11" w:rsidRPr="002D7A11" w:rsidRDefault="002D7A11" w:rsidP="002D7A11">
            <w:pPr>
              <w:rPr>
                <w:sz w:val="18"/>
                <w:szCs w:val="18"/>
              </w:rPr>
            </w:pPr>
          </w:p>
        </w:tc>
      </w:tr>
      <w:tr w:rsidR="002D7A11" w:rsidRPr="002D7A11" w14:paraId="4F0416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4EDE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15A787B6" w14:textId="1B220E48" w:rsidR="002D7A11" w:rsidRPr="002D7A11" w:rsidRDefault="002D7A11" w:rsidP="002D7A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Десять</w:t>
            </w:r>
            <w:r w:rsidRPr="002D7A1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восемьсот</w:t>
            </w:r>
            <w:r w:rsidRPr="002D7A1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70DFF3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6966FA">
        <w:tc>
          <w:tcPr>
            <w:tcW w:w="105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6966FA">
        <w:tc>
          <w:tcPr>
            <w:tcW w:w="105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6966FA">
        <w:tc>
          <w:tcPr>
            <w:tcW w:w="105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C7B6" w14:textId="77777777" w:rsidR="00AB331C" w:rsidRDefault="00AB331C" w:rsidP="000B6D3B">
      <w:pPr>
        <w:spacing w:after="0" w:line="240" w:lineRule="auto"/>
      </w:pPr>
      <w:r>
        <w:separator/>
      </w:r>
    </w:p>
  </w:endnote>
  <w:endnote w:type="continuationSeparator" w:id="0">
    <w:p w14:paraId="444C0987" w14:textId="77777777" w:rsidR="00AB331C" w:rsidRDefault="00AB331C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2B94" w14:textId="77777777" w:rsidR="00AB331C" w:rsidRDefault="00AB331C" w:rsidP="000B6D3B">
      <w:pPr>
        <w:spacing w:after="0" w:line="240" w:lineRule="auto"/>
      </w:pPr>
      <w:r>
        <w:separator/>
      </w:r>
    </w:p>
  </w:footnote>
  <w:footnote w:type="continuationSeparator" w:id="0">
    <w:p w14:paraId="0094A39C" w14:textId="77777777" w:rsidR="00AB331C" w:rsidRDefault="00AB331C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3B"/>
    <w:rsid w:val="000B6D3B"/>
    <w:rsid w:val="00207F69"/>
    <w:rsid w:val="002D7A11"/>
    <w:rsid w:val="00430E00"/>
    <w:rsid w:val="009A6413"/>
    <w:rsid w:val="00AB331C"/>
    <w:rsid w:val="00D02BC2"/>
    <w:rsid w:val="00E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4</cp:revision>
  <dcterms:created xsi:type="dcterms:W3CDTF">2020-07-06T14:43:00Z</dcterms:created>
  <dcterms:modified xsi:type="dcterms:W3CDTF">2020-07-06T15:00:00Z</dcterms:modified>
</cp:coreProperties>
</file>