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E7" w:rsidRPr="004228E7" w:rsidRDefault="004228E7" w:rsidP="004228E7">
      <w:pPr>
        <w:pStyle w:val="a3"/>
        <w:spacing w:before="0"/>
        <w:ind w:left="0" w:right="-3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4228E7">
        <w:rPr>
          <w:rFonts w:cs="Times New Roman"/>
          <w:b/>
          <w:sz w:val="24"/>
          <w:szCs w:val="24"/>
          <w:lang w:val="ru-RU"/>
        </w:rPr>
        <w:t>ПОЛОЖЕНИЕ ПО БУХГАЛТЕРСКОМУ УЧЕТУ</w:t>
      </w:r>
    </w:p>
    <w:p w:rsidR="004228E7" w:rsidRPr="004228E7" w:rsidRDefault="004228E7" w:rsidP="004228E7">
      <w:pPr>
        <w:pStyle w:val="a3"/>
        <w:spacing w:before="0"/>
        <w:ind w:left="0" w:right="-3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4228E7">
        <w:rPr>
          <w:rFonts w:cs="Times New Roman"/>
          <w:b/>
          <w:sz w:val="24"/>
          <w:szCs w:val="24"/>
          <w:lang w:val="ru-RU"/>
        </w:rPr>
        <w:t>«ИНФОРМАЦИЯ ПО СЕГМЕНТАМ»</w:t>
      </w:r>
    </w:p>
    <w:p w:rsidR="004228E7" w:rsidRPr="004228E7" w:rsidRDefault="004228E7" w:rsidP="004228E7">
      <w:pPr>
        <w:pStyle w:val="a3"/>
        <w:spacing w:before="0"/>
        <w:ind w:left="0" w:right="-3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4228E7">
        <w:rPr>
          <w:rFonts w:cs="Times New Roman"/>
          <w:b/>
          <w:sz w:val="24"/>
          <w:szCs w:val="24"/>
          <w:lang w:val="ru-RU"/>
        </w:rPr>
        <w:t>ПБУ 12/2010</w:t>
      </w:r>
    </w:p>
    <w:p w:rsidR="00F977F1" w:rsidRDefault="000755D0" w:rsidP="000C6A02">
      <w:pPr>
        <w:pStyle w:val="a3"/>
        <w:spacing w:before="0"/>
        <w:ind w:left="0" w:right="-30" w:firstLine="0"/>
        <w:jc w:val="center"/>
        <w:rPr>
          <w:rFonts w:cs="Times New Roman"/>
          <w:sz w:val="24"/>
          <w:szCs w:val="24"/>
          <w:lang w:val="ru-RU"/>
        </w:rPr>
      </w:pPr>
      <w:bookmarkStart w:id="0" w:name="_GoBack"/>
      <w:r w:rsidRPr="004228E7">
        <w:rPr>
          <w:rFonts w:cs="Times New Roman"/>
          <w:sz w:val="24"/>
          <w:szCs w:val="24"/>
          <w:lang w:val="ru-RU"/>
        </w:rPr>
        <w:t>(утверждено приказом Минфина России от 08.11.2010 г.</w:t>
      </w:r>
      <w:r w:rsidRPr="004228E7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№</w:t>
      </w:r>
      <w:r w:rsidRPr="004228E7">
        <w:rPr>
          <w:rFonts w:cs="Times New Roman"/>
          <w:sz w:val="24"/>
          <w:szCs w:val="24"/>
          <w:lang w:val="ru-RU"/>
        </w:rPr>
        <w:t>143н)</w:t>
      </w:r>
    </w:p>
    <w:bookmarkEnd w:id="0"/>
    <w:p w:rsidR="00B7127D" w:rsidRPr="004228E7" w:rsidRDefault="00B7127D" w:rsidP="004228E7">
      <w:pPr>
        <w:pStyle w:val="a3"/>
        <w:spacing w:before="0"/>
        <w:ind w:left="440" w:right="-30" w:firstLine="360"/>
        <w:rPr>
          <w:rFonts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1"/>
        <w:numPr>
          <w:ilvl w:val="0"/>
          <w:numId w:val="2"/>
        </w:numPr>
        <w:tabs>
          <w:tab w:val="left" w:pos="3907"/>
        </w:tabs>
        <w:spacing w:before="0"/>
        <w:ind w:right="-30" w:hanging="566"/>
        <w:jc w:val="left"/>
        <w:rPr>
          <w:rFonts w:cs="Times New Roman"/>
          <w:b w:val="0"/>
          <w:bCs w:val="0"/>
          <w:sz w:val="24"/>
          <w:szCs w:val="24"/>
        </w:rPr>
      </w:pPr>
      <w:r w:rsidRPr="004228E7">
        <w:rPr>
          <w:rFonts w:cs="Times New Roman"/>
          <w:sz w:val="24"/>
          <w:szCs w:val="24"/>
        </w:rPr>
        <w:t>Общие</w:t>
      </w:r>
      <w:r w:rsidRPr="004228E7">
        <w:rPr>
          <w:rFonts w:cs="Times New Roman"/>
          <w:spacing w:val="-12"/>
          <w:sz w:val="24"/>
          <w:szCs w:val="24"/>
        </w:rPr>
        <w:t xml:space="preserve"> </w:t>
      </w:r>
      <w:r w:rsidRPr="004228E7">
        <w:rPr>
          <w:rFonts w:cs="Times New Roman"/>
          <w:sz w:val="24"/>
          <w:szCs w:val="24"/>
        </w:rPr>
        <w:t>положения</w:t>
      </w:r>
    </w:p>
    <w:p w:rsidR="00B7127D" w:rsidRDefault="00B7127D" w:rsidP="00B7127D">
      <w:pPr>
        <w:pStyle w:val="a3"/>
        <w:spacing w:before="0"/>
        <w:ind w:left="440" w:right="-30" w:firstLine="360"/>
        <w:rPr>
          <w:rFonts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формирования и представления информации по сегментам в бухгалтерской отчетности коммерческих организаций (кроме кредитных организаций), являющихся юридическими лицами по законодательству Российской</w:t>
      </w:r>
      <w:r w:rsidRPr="004228E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изации – эмитенты публично размещаемых ценных бумаг должны раскрывать в пояснениях к бухгалтерской отчетности информацию по сегментам в соответствии с настоящим Положением. Иные организации применяют настоящее Положение в случае принятия ими решения о раск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рытии информации по сегментам в бухгалтерской отчетности. Информация, не соответствующая требованиям настоящего Положения, не может именоваться в бухгалтерской отчетности информацией по</w:t>
      </w:r>
      <w:r w:rsidRPr="004228E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сегментам.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при формировании отчетно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сти, составляемой для государственного статистического наблюдения, отчетной информации, представляемой кредитной организации в соответствии с ее требованиями, и составления отчетной информации для иных специальных целей, если в правилах составления такой о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тчетности и информации не предусматривается использование настоящего</w:t>
      </w:r>
      <w:r w:rsidRPr="004228E7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При раскрытии информации по сегментам организация применяет общие требования к представлению информации в бухгалтерской отчетности организаций, установленные нормативными право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выми актами по бухгалтерскому учету, с учетом требований настоящего</w:t>
      </w:r>
      <w:r w:rsidRPr="004228E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F977F1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Раскрытие информации по сегментам должно обеспечивать заинтересованных пользователей бухгалтерской отчетности организации информацией, позволяющей оценить отраслевую специфику д</w:t>
      </w:r>
      <w:r w:rsidRPr="004228E7">
        <w:rPr>
          <w:rFonts w:cs="Times New Roman"/>
          <w:sz w:val="24"/>
          <w:szCs w:val="24"/>
          <w:lang w:val="ru-RU"/>
        </w:rPr>
        <w:t>еятельности организации, её хозяйственную структуру, распределение финансовых показателей по отдельным направлениям</w:t>
      </w:r>
      <w:r w:rsidRPr="004228E7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деятельности.</w:t>
      </w:r>
    </w:p>
    <w:p w:rsidR="004228E7" w:rsidRPr="004228E7" w:rsidRDefault="004228E7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1"/>
        <w:numPr>
          <w:ilvl w:val="0"/>
          <w:numId w:val="2"/>
        </w:numPr>
        <w:tabs>
          <w:tab w:val="left" w:pos="3705"/>
        </w:tabs>
        <w:spacing w:before="0"/>
        <w:ind w:left="3704" w:right="-30" w:hanging="566"/>
        <w:jc w:val="left"/>
        <w:rPr>
          <w:rFonts w:cs="Times New Roman"/>
          <w:b w:val="0"/>
          <w:bCs w:val="0"/>
          <w:sz w:val="24"/>
          <w:szCs w:val="24"/>
        </w:rPr>
      </w:pPr>
      <w:r w:rsidRPr="004228E7">
        <w:rPr>
          <w:rFonts w:cs="Times New Roman"/>
          <w:sz w:val="24"/>
          <w:szCs w:val="24"/>
        </w:rPr>
        <w:t>Выделение</w:t>
      </w:r>
      <w:r w:rsidRPr="004228E7">
        <w:rPr>
          <w:rFonts w:cs="Times New Roman"/>
          <w:spacing w:val="-10"/>
          <w:sz w:val="24"/>
          <w:szCs w:val="24"/>
        </w:rPr>
        <w:t xml:space="preserve"> </w:t>
      </w:r>
      <w:r w:rsidRPr="004228E7">
        <w:rPr>
          <w:rFonts w:cs="Times New Roman"/>
          <w:sz w:val="24"/>
          <w:szCs w:val="24"/>
        </w:rPr>
        <w:t>сегментов</w:t>
      </w:r>
    </w:p>
    <w:p w:rsidR="004228E7" w:rsidRPr="004228E7" w:rsidRDefault="004228E7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Выделение сегментов заключается в обособлении информации о части деятельности</w:t>
      </w:r>
      <w:r w:rsidRPr="004228E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организации:</w:t>
      </w:r>
    </w:p>
    <w:p w:rsidR="00F977F1" w:rsidRP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а) которая спос</w:t>
      </w:r>
      <w:r w:rsidRPr="00624EF3">
        <w:rPr>
          <w:rFonts w:cs="Times New Roman"/>
          <w:i/>
          <w:sz w:val="24"/>
          <w:szCs w:val="24"/>
          <w:lang w:val="ru-RU"/>
        </w:rPr>
        <w:t>обна приносить экономические выгоды и предполагающая соответствующие расходы (включая подразумеваемые выгоды и расходы от операций с другими</w:t>
      </w:r>
      <w:r w:rsidRPr="00624EF3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сегментами);</w:t>
      </w:r>
    </w:p>
    <w:p w:rsidR="004228E7" w:rsidRP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б) результаты которой систематически анализируются лицами, наделенными в организации полномочиями по принятию решений в распределении ресурсов внутри организации и оценке этих результатов (далее – полномочные лица</w:t>
      </w:r>
      <w:r w:rsidRPr="00624EF3">
        <w:rPr>
          <w:rFonts w:cs="Times New Roman"/>
          <w:i/>
          <w:spacing w:val="-15"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организации);</w:t>
      </w:r>
    </w:p>
    <w:p w:rsidR="00F977F1" w:rsidRP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в) по которо</w:t>
      </w:r>
      <w:r w:rsidRPr="00624EF3">
        <w:rPr>
          <w:rFonts w:cs="Times New Roman"/>
          <w:i/>
          <w:sz w:val="24"/>
          <w:szCs w:val="24"/>
          <w:lang w:val="ru-RU"/>
        </w:rPr>
        <w:t>й могут быть сформированы финансовые показатели отдельно от показателей других частей деятельности</w:t>
      </w:r>
      <w:r w:rsidRPr="00624EF3">
        <w:rPr>
          <w:rFonts w:cs="Times New Roman"/>
          <w:i/>
          <w:spacing w:val="-24"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организации.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В зависимости от организационной и управленческой структуры организации, а также ее системы внутренней отчетности основой выделения сегментов мо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гут быть, в</w:t>
      </w:r>
      <w:r w:rsidRPr="004228E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частности:</w:t>
      </w:r>
    </w:p>
    <w:p w:rsidR="00F977F1" w:rsidRP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а) производимая продукция, закупаемые товары, выполняемые работы, оказываемые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услуги;</w:t>
      </w:r>
    </w:p>
    <w:p w:rsid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б)</w:t>
      </w:r>
      <w:r w:rsid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основные покупатели (заказчики) продукции, товаров,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работ,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услуг;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</w:p>
    <w:p w:rsid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в)</w:t>
      </w:r>
      <w:r w:rsid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географические регионы, в которых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осуществляется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деятельность;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</w:p>
    <w:p w:rsidR="00F977F1" w:rsidRPr="00624EF3" w:rsidRDefault="000755D0" w:rsidP="00AF4F92">
      <w:pPr>
        <w:pStyle w:val="a3"/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624EF3">
        <w:rPr>
          <w:rFonts w:cs="Times New Roman"/>
          <w:i/>
          <w:sz w:val="24"/>
          <w:szCs w:val="24"/>
          <w:lang w:val="ru-RU"/>
        </w:rPr>
        <w:t>г)</w:t>
      </w:r>
      <w:r w:rsid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структурные подразделения</w:t>
      </w:r>
      <w:r w:rsidRPr="00624EF3">
        <w:rPr>
          <w:rFonts w:cs="Times New Roman"/>
          <w:i/>
          <w:sz w:val="24"/>
          <w:szCs w:val="24"/>
          <w:lang w:val="ru-RU"/>
        </w:rPr>
        <w:t xml:space="preserve"> </w:t>
      </w:r>
      <w:r w:rsidRPr="00624EF3">
        <w:rPr>
          <w:rFonts w:cs="Times New Roman"/>
          <w:i/>
          <w:sz w:val="24"/>
          <w:szCs w:val="24"/>
          <w:lang w:val="ru-RU"/>
        </w:rPr>
        <w:t>организации.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 xml:space="preserve">При выделении сегментов учитывается информация, используемая полномочными лицами организации, сведения, размещаемые в средствах массовой информации, иная доступная информация, в частности, управленческие документы по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планированию, отчеты высшего органа управления организации, сведения, опубликованные на Интернет-сайте организации, и тому</w:t>
      </w:r>
      <w:r w:rsidRPr="004228E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подобное.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Несколько сегментов могут быть определены как единый сегмент, если такое объединение соответствует целям настоящего Положен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ия, а также при условии сходства следующих характеристик объединяемых</w:t>
      </w:r>
      <w:r w:rsidRPr="004228E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сегментов: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lastRenderedPageBreak/>
        <w:t>а)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характер (назначение) продукции, товаров, работ,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услуг;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 процесс производства продукции, закупки товаров, выполнения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работ, оказания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услуг;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покупатели (заказчики) продукции, товаров,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работ,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услуг;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г)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способы продажи продукции, товаров, работ,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услуг;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д) правовые условия деятельности (например, необходимость лицензии (разрешения), режим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налогообложения);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е)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другие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характеристики.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left="1141" w:right="-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 xml:space="preserve">Помимо условий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выделения сегментов, предусмотренных</w:t>
      </w:r>
      <w:r w:rsidR="00422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пунктами</w:t>
      </w:r>
    </w:p>
    <w:p w:rsidR="00F977F1" w:rsidRPr="004228E7" w:rsidRDefault="000755D0" w:rsidP="004228E7">
      <w:pPr>
        <w:pStyle w:val="a3"/>
        <w:tabs>
          <w:tab w:val="left" w:pos="2715"/>
        </w:tabs>
        <w:spacing w:before="0"/>
        <w:ind w:right="-30" w:firstLine="0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5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–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8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настоящего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Положения,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организация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может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использовать</w:t>
      </w:r>
      <w:r w:rsidR="004228E7">
        <w:rPr>
          <w:rFonts w:cs="Times New Roman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также</w:t>
      </w:r>
      <w:r w:rsidRPr="004228E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следующие дополнительные</w:t>
      </w:r>
      <w:r w:rsidRPr="004228E7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условия:</w:t>
      </w:r>
    </w:p>
    <w:p w:rsidR="00F977F1" w:rsidRPr="00AF4F92" w:rsidRDefault="004228E7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 xml:space="preserve">а) </w:t>
      </w:r>
      <w:r w:rsidR="000755D0" w:rsidRPr="00AF4F92">
        <w:rPr>
          <w:rFonts w:cs="Times New Roman"/>
          <w:i/>
          <w:sz w:val="24"/>
          <w:szCs w:val="24"/>
          <w:lang w:val="ru-RU"/>
        </w:rPr>
        <w:t>специфический характер отдельного направления</w:t>
      </w:r>
      <w:r w:rsidR="000755D0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="000755D0" w:rsidRPr="00AF4F92">
        <w:rPr>
          <w:rFonts w:cs="Times New Roman"/>
          <w:i/>
          <w:sz w:val="24"/>
          <w:szCs w:val="24"/>
          <w:lang w:val="ru-RU"/>
        </w:rPr>
        <w:t>деятельности;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 xml:space="preserve">б) ответственность конкретных лиц </w:t>
      </w:r>
      <w:r w:rsidRPr="00AF4F92">
        <w:rPr>
          <w:rFonts w:cs="Times New Roman"/>
          <w:i/>
          <w:sz w:val="24"/>
          <w:szCs w:val="24"/>
          <w:lang w:val="ru-RU"/>
        </w:rPr>
        <w:t xml:space="preserve">за </w:t>
      </w:r>
      <w:r w:rsidRPr="00AF4F92">
        <w:rPr>
          <w:rFonts w:cs="Times New Roman"/>
          <w:i/>
          <w:sz w:val="24"/>
          <w:szCs w:val="24"/>
          <w:lang w:val="ru-RU"/>
        </w:rPr>
        <w:t>результаты отдельного направления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деятельности;</w:t>
      </w:r>
    </w:p>
    <w:p w:rsidR="00F977F1" w:rsidRPr="00AF4F92" w:rsidRDefault="000755D0" w:rsidP="00AF4F92">
      <w:pPr>
        <w:pStyle w:val="a3"/>
        <w:tabs>
          <w:tab w:val="left" w:pos="1134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обособленность информации, представляемой совету директоров (наблюдательному совету)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организации;</w:t>
      </w:r>
    </w:p>
    <w:p w:rsidR="004228E7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г)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другие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условия.</w:t>
      </w:r>
    </w:p>
    <w:p w:rsidR="00F977F1" w:rsidRPr="004228E7" w:rsidRDefault="000755D0" w:rsidP="004228E7">
      <w:pPr>
        <w:pStyle w:val="a3"/>
        <w:tabs>
          <w:tab w:val="left" w:pos="1141"/>
        </w:tabs>
        <w:spacing w:before="0"/>
        <w:ind w:left="685" w:right="-30" w:firstLine="0"/>
        <w:rPr>
          <w:rFonts w:cs="Times New Roman"/>
          <w:b/>
          <w:bCs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Отчетные</w:t>
      </w:r>
      <w:r w:rsidRPr="004228E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сегменты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Информация по сегменту, выделенному в качестве отчетного, обособленно раскрывается в бухгалтерской отчетности посредством включения в нее перечня показателей, установленного настоящим Положением.</w:t>
      </w:r>
    </w:p>
    <w:p w:rsidR="00F977F1" w:rsidRPr="004228E7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Сегмент считается отчетным, если выполняется хотя бы одно из</w:t>
      </w:r>
      <w:r w:rsidRPr="004228E7">
        <w:rPr>
          <w:rFonts w:cs="Times New Roman"/>
          <w:sz w:val="24"/>
          <w:szCs w:val="24"/>
          <w:lang w:val="ru-RU"/>
        </w:rPr>
        <w:t xml:space="preserve"> следующих</w:t>
      </w:r>
      <w:r w:rsidRPr="004228E7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условий: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выручка сегмента от продаж покупателям (заказчикам) организации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и подразумеваемая выручка от операций с другими сегментами составляет не менее 10 процентов общей суммы выручки всех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сегментов;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 финансовый результат (прибыль или убыток) сегмента составляет не менее 10 процентов от наибольшей из двух величин: суммарной прибыли сегментов, финансовым результатом которых является прибыль, или суммарного убытка сегментов, финансовым результатом кото</w:t>
      </w:r>
      <w:r w:rsidRPr="00AF4F92">
        <w:rPr>
          <w:rFonts w:cs="Times New Roman"/>
          <w:i/>
          <w:sz w:val="24"/>
          <w:szCs w:val="24"/>
          <w:lang w:val="ru-RU"/>
        </w:rPr>
        <w:t>рых является убыток;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активы сегмента составляют не менее 10 процентов суммарных активов всех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сегментов.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Сегмент, показатели которого ниже предусмотренных пунктом 10 настоящего Положения, может быть выделен в качестве отчетного, если информация по данном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у сегменту будет полезной заинтересованным пользователям или если существует необходимость выделения большего количества отчетных сегментов для выполнения условия, предусмотренного пунктом 14 настоящего</w:t>
      </w:r>
      <w:r w:rsidRPr="004228E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Перечень отчетных сегментов определяется организацией исходя из ее организационной и управленческой</w:t>
      </w:r>
      <w:r w:rsidRPr="004228E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структуры.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При определении перечня отчетных сегментов организация может объединить информацию по двум и более сегментам, показатели которых ниже предусмотре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нных пунктом 10 настоящего Положения, в том случае, если такое объединение соответствует требованиям настоящего Положения,</w:t>
      </w:r>
      <w:r w:rsidR="00422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а также при условии сходства объединяемых сегментов по характеристикам, предусмотренным пунктом 8 настоящего</w:t>
      </w:r>
      <w:r w:rsidRPr="004228E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 xml:space="preserve">На отчетные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сегменты в бухгалтерской отчетности организации должно приходиться не менее 75 процентов выручки от продаж покупателям (заказчикам)</w:t>
      </w:r>
      <w:r w:rsidRPr="004228E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624EF3" w:rsidRDefault="000755D0" w:rsidP="00624EF3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Если на отчетные сегменты приходится менее 75 процентов выручки от продаж покупателям (заказчикам) организации,</w:t>
      </w:r>
      <w:r w:rsidRPr="004228E7">
        <w:rPr>
          <w:rFonts w:cs="Times New Roman"/>
          <w:sz w:val="24"/>
          <w:szCs w:val="24"/>
          <w:lang w:val="ru-RU"/>
        </w:rPr>
        <w:t xml:space="preserve"> то должны быть выделены дополнительные отчетные сегменты независимо от того, удовлетворяет ли каждый из них в отдельности условиям, предусмотренным пунктом 10 настоящего</w:t>
      </w:r>
      <w:r w:rsidRPr="004228E7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Положения.</w:t>
      </w:r>
    </w:p>
    <w:p w:rsidR="00F977F1" w:rsidRPr="004228E7" w:rsidRDefault="000755D0" w:rsidP="00624EF3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В случае если количество отчетных сегментов составляет б</w:t>
      </w:r>
      <w:r w:rsidRPr="004228E7">
        <w:rPr>
          <w:rFonts w:cs="Times New Roman"/>
          <w:sz w:val="24"/>
          <w:szCs w:val="24"/>
          <w:lang w:val="ru-RU"/>
        </w:rPr>
        <w:t>олее десяти, организация должна проанализировать возможность объединения отчетных сегментов в соответствии с пунктом 13 настоящего</w:t>
      </w:r>
      <w:r w:rsidRPr="004228E7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Положения.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деятельность, не включенную в отчетные сегменты, раскрываются в бухгалтерской отчетнос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ти как прочие сегменты.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При подготовке бухгалтерской отчетности должна быть обеспечена последовательность в определении перечня отчетных</w:t>
      </w:r>
      <w:r w:rsidRPr="004228E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сегментов.</w:t>
      </w:r>
    </w:p>
    <w:p w:rsidR="00F977F1" w:rsidRPr="004228E7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 xml:space="preserve">Если сегмент, выделенный в качестве отчетного в периоде, предшествующем отчетному, в </w:t>
      </w:r>
      <w:r w:rsidRPr="004228E7">
        <w:rPr>
          <w:rFonts w:cs="Times New Roman"/>
          <w:sz w:val="24"/>
          <w:szCs w:val="24"/>
          <w:lang w:val="ru-RU"/>
        </w:rPr>
        <w:lastRenderedPageBreak/>
        <w:t>отчетном периоде не соо</w:t>
      </w:r>
      <w:r w:rsidRPr="004228E7">
        <w:rPr>
          <w:rFonts w:cs="Times New Roman"/>
          <w:sz w:val="24"/>
          <w:szCs w:val="24"/>
          <w:lang w:val="ru-RU"/>
        </w:rPr>
        <w:t>тветствует условиям отчетного сегмента, но предполагается, что указанный сегмент будет выделяться как отчетный в будущем, такой сегмент выделяется в качестве отчетного сегмента в отчетном</w:t>
      </w:r>
      <w:r w:rsidRPr="004228E7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периоде.</w:t>
      </w:r>
    </w:p>
    <w:p w:rsidR="00F977F1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 xml:space="preserve">Если сегмент впервые стал удовлетворять условиям отчетного </w:t>
      </w:r>
      <w:r w:rsidRPr="004228E7">
        <w:rPr>
          <w:rFonts w:cs="Times New Roman"/>
          <w:sz w:val="24"/>
          <w:szCs w:val="24"/>
          <w:lang w:val="ru-RU"/>
        </w:rPr>
        <w:t>сегмента в отчетном периоде, то по нему должна быть представлена также сравнительная информация за предшествующие отчетному периоды, за исключением случаев, когда необходимая информация отсутствует и ее подготовка противоречит требованию</w:t>
      </w:r>
      <w:r w:rsidRPr="004228E7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рациональности.</w:t>
      </w:r>
    </w:p>
    <w:p w:rsidR="00B7127D" w:rsidRPr="004228E7" w:rsidRDefault="00B7127D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1"/>
        <w:numPr>
          <w:ilvl w:val="0"/>
          <w:numId w:val="2"/>
        </w:numPr>
        <w:tabs>
          <w:tab w:val="left" w:pos="2467"/>
        </w:tabs>
        <w:spacing w:before="0"/>
        <w:ind w:left="2466" w:right="-30" w:hanging="566"/>
        <w:jc w:val="left"/>
        <w:rPr>
          <w:rFonts w:cs="Times New Roman"/>
          <w:b w:val="0"/>
          <w:bCs w:val="0"/>
          <w:sz w:val="24"/>
          <w:szCs w:val="24"/>
        </w:rPr>
      </w:pPr>
      <w:r w:rsidRPr="004228E7">
        <w:rPr>
          <w:rFonts w:cs="Times New Roman"/>
          <w:sz w:val="24"/>
          <w:szCs w:val="24"/>
        </w:rPr>
        <w:t>Оценка показателей отчетных</w:t>
      </w:r>
      <w:r w:rsidRPr="004228E7">
        <w:rPr>
          <w:rFonts w:cs="Times New Roman"/>
          <w:spacing w:val="-19"/>
          <w:sz w:val="24"/>
          <w:szCs w:val="24"/>
        </w:rPr>
        <w:t xml:space="preserve"> </w:t>
      </w:r>
      <w:r w:rsidRPr="004228E7">
        <w:rPr>
          <w:rFonts w:cs="Times New Roman"/>
          <w:sz w:val="24"/>
          <w:szCs w:val="24"/>
        </w:rPr>
        <w:t>сегментов</w:t>
      </w:r>
    </w:p>
    <w:p w:rsidR="00B7127D" w:rsidRDefault="00B7127D" w:rsidP="00B7127D">
      <w:pPr>
        <w:pStyle w:val="a4"/>
        <w:tabs>
          <w:tab w:val="left" w:pos="1142"/>
        </w:tabs>
        <w:ind w:left="685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Показатели отчетного сегмента, подлежащие раскрытию в соответствии с пунктами 24–27 настоящего Положения, приводятся в оценке, в которой они представляются полномочным лицам организации для принятия решений (по данным 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управленческого</w:t>
      </w:r>
      <w:r w:rsidRPr="004228E7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учета).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Выручка, расходы, активы и обязательства, относящиеся к двум и более отчетным сегментам, подлежат обоснованному распределению между данными сегментами. Способ распределения определяется организацией в зависимости от характера объектов учета, видов деятельн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ости организации, степени обособленности отчетных сегментов. Организация должна последовательно применять основу распределения показателей между отчетными</w:t>
      </w:r>
      <w:r w:rsidRPr="004228E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сегментами.</w:t>
      </w:r>
    </w:p>
    <w:p w:rsidR="00F977F1" w:rsidRPr="004228E7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Распределенные выручка и расходы включаются в раскрываемый в бухгалтерской отчетности фин</w:t>
      </w:r>
      <w:r w:rsidRPr="004228E7">
        <w:rPr>
          <w:rFonts w:cs="Times New Roman"/>
          <w:sz w:val="24"/>
          <w:szCs w:val="24"/>
          <w:lang w:val="ru-RU"/>
        </w:rPr>
        <w:t>ансовый результат (прибыль, убыток) отчетного сегмента в том случае, если такие данные включаются в расчет финансового результата (прибыли, убытка) этого сегмента, используемого полномочными лицами организации для принятия</w:t>
      </w:r>
      <w:r w:rsidRPr="004228E7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решений.</w:t>
      </w:r>
    </w:p>
    <w:p w:rsidR="00F977F1" w:rsidRPr="00624EF3" w:rsidRDefault="000755D0" w:rsidP="00624EF3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если полномочны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е лица организации для принятия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решений используют несколько показателей финансового результата (прибыли, убытка), активов или обязательств отчетного сегмента, исчисленных по различным правилам, то в составе информации по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отчетному сегменту в бухгалтерск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ой отчетности организации указанные показатели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приводятся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оценке,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</w:t>
      </w:r>
      <w:r w:rsidR="004228E7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</w:t>
      </w:r>
      <w:r w:rsidR="00624EF3"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аналогичных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показателей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целом,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представляемых в ее бухгалтерской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4EF3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отчетности.</w:t>
      </w:r>
    </w:p>
    <w:p w:rsidR="00F977F1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Показатели 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отчетного сегмента, подлежащие раскрытию в соответствии с пунктами 29–31 настоящего Положения, приводятся в оценке, применяемой для отражения в бухгалтерской отчетности аналогичных показателей организации в целом. Указанные показатели отчетного сегмента мо</w:t>
      </w:r>
      <w:r w:rsidRPr="004228E7">
        <w:rPr>
          <w:rFonts w:ascii="Times New Roman" w:eastAsia="Times New Roman" w:hAnsi="Times New Roman" w:cs="Times New Roman"/>
          <w:sz w:val="24"/>
          <w:szCs w:val="24"/>
          <w:lang w:val="ru-RU"/>
        </w:rPr>
        <w:t>гут не раскрываться, когда их подготовка противоречит требованию рациональности.</w:t>
      </w:r>
    </w:p>
    <w:p w:rsidR="00B7127D" w:rsidRPr="00B7127D" w:rsidRDefault="00B7127D" w:rsidP="00B7127D">
      <w:pPr>
        <w:tabs>
          <w:tab w:val="left" w:pos="1142"/>
        </w:tabs>
        <w:ind w:left="119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77F1" w:rsidRPr="00B7127D" w:rsidRDefault="000755D0" w:rsidP="004228E7">
      <w:pPr>
        <w:pStyle w:val="1"/>
        <w:numPr>
          <w:ilvl w:val="0"/>
          <w:numId w:val="2"/>
        </w:numPr>
        <w:tabs>
          <w:tab w:val="left" w:pos="1987"/>
        </w:tabs>
        <w:spacing w:before="0"/>
        <w:ind w:left="1986" w:right="-30" w:hanging="566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B7127D">
        <w:rPr>
          <w:rFonts w:cs="Times New Roman"/>
          <w:sz w:val="24"/>
          <w:szCs w:val="24"/>
          <w:lang w:val="ru-RU"/>
        </w:rPr>
        <w:t>Раскрытие информации по отчетным</w:t>
      </w:r>
      <w:r w:rsidRPr="00B7127D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="00B7127D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B7127D">
        <w:rPr>
          <w:rFonts w:cs="Times New Roman"/>
          <w:sz w:val="24"/>
          <w:szCs w:val="24"/>
          <w:lang w:val="ru-RU"/>
        </w:rPr>
        <w:t>сегментам</w:t>
      </w:r>
    </w:p>
    <w:p w:rsidR="00B7127D" w:rsidRPr="00B7127D" w:rsidRDefault="00B7127D" w:rsidP="00B7127D">
      <w:pPr>
        <w:tabs>
          <w:tab w:val="left" w:pos="1142"/>
        </w:tabs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в пояснениях к бухгалтерской отчетности следующую информацию по отчетным</w:t>
      </w:r>
      <w:r w:rsidRPr="004228E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сегментам: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общую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информацию;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показатели отчетных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сегментов;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способы оценки показателей отчетных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сегментов;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г) сопоставление совокупных показателей отчетных сегментов с величиной соответствующих статей бухгалтерского баланса или отчета о прибылях и убытках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д)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иную инфор</w:t>
      </w:r>
      <w:r w:rsidRPr="00AF4F92">
        <w:rPr>
          <w:rFonts w:cs="Times New Roman"/>
          <w:i/>
          <w:sz w:val="24"/>
          <w:szCs w:val="24"/>
          <w:lang w:val="ru-RU"/>
        </w:rPr>
        <w:t>мацию, предусмотренную настоящим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Положением.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В составе общей информации по отчетным сегментам организацией приводится:</w:t>
      </w:r>
    </w:p>
    <w:p w:rsid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описание основы выделения сегментов,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признанных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отчетными;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случаи объединения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сегментов;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наименование вида (группы) продукции, товаров, работ, услуг, от продажи которых организация получает выручку в каждом из отчетных сегментов, а также в прочих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сегментах.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По каждому отчетному сегменту раскрываются следующие показатели:</w:t>
      </w:r>
    </w:p>
    <w:p w:rsid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AF4F92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финансовый резул</w:t>
      </w:r>
      <w:r w:rsidRPr="00AF4F92">
        <w:rPr>
          <w:rFonts w:cs="Times New Roman"/>
          <w:i/>
          <w:sz w:val="24"/>
          <w:szCs w:val="24"/>
          <w:lang w:val="ru-RU"/>
        </w:rPr>
        <w:t>ьтат (прибыль или убыток) за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отчетный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период;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общая величина активов на отчетную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дату;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общая величина обязательств на отчетную дату (если такие данные представляются полномочным лицам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организации).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раскрывает следующие показатели по каждому отчетному сегменту в случае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lastRenderedPageBreak/>
        <w:t>их представления полномочным лицам организации на систематической основе, независимо от включения таких показателей в расчет финансового результата (прибыли, убытка) отчетно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го сегмента:</w:t>
      </w:r>
    </w:p>
    <w:p w:rsidR="00624EF3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AF4F92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выручка от продаж покупателям (заказчикам)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</w:t>
      </w:r>
      <w:r w:rsidR="00AF4F92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подразумеваемая выручка от операций с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другими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сегментами;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в)</w:t>
      </w:r>
      <w:r w:rsidRPr="00AF4F92">
        <w:rPr>
          <w:rFonts w:cs="Times New Roman"/>
          <w:i/>
          <w:sz w:val="24"/>
          <w:szCs w:val="24"/>
          <w:lang w:val="ru-RU"/>
        </w:rPr>
        <w:tab/>
        <w:t>проценты (дивиденды) к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получению;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г)</w:t>
      </w:r>
      <w:r w:rsidR="00AF4F92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проценты к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уплате;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д) величина амортизационных отчислений по осно</w:t>
      </w:r>
      <w:r w:rsidRPr="00AF4F92">
        <w:rPr>
          <w:rFonts w:cs="Times New Roman"/>
          <w:i/>
          <w:sz w:val="24"/>
          <w:szCs w:val="24"/>
          <w:lang w:val="ru-RU"/>
        </w:rPr>
        <w:t>вным средствам и нематериальным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активам;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е)</w:t>
      </w:r>
      <w:r w:rsidR="00AF4F92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иные существенные доходы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и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расходы;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ж)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налог на прибыль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организаций.</w:t>
      </w:r>
    </w:p>
    <w:p w:rsidR="00F977F1" w:rsidRPr="004228E7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 xml:space="preserve">Допускается зачет между показателями «Проценты (дивиденды) к получению» и «Проценты к уплате» в случае, если проценты (дивиденды) к получению </w:t>
      </w:r>
      <w:r w:rsidRPr="004228E7">
        <w:rPr>
          <w:rFonts w:cs="Times New Roman"/>
          <w:sz w:val="24"/>
          <w:szCs w:val="24"/>
          <w:lang w:val="ru-RU"/>
        </w:rPr>
        <w:t>составляют большую часть доходов отчетного сегмента, и полномочным лицам организации представляется показатель, исчисляемый как проценты (дивиденды) к получению за вычетом процентов к</w:t>
      </w:r>
      <w:r w:rsidRPr="004228E7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уплате.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по каждому отчетному сегменту величину вн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еоборотных активов в случае представления такого показателя полномочным лицам организации на систематической основе, независимо от включения этого показателя в расчет общей величины активов отчетного сегмента.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следующую информацию об оценке показателей, раскрываемых в пояснениях к бухгалтерской отчетности по каждому отчетному</w:t>
      </w:r>
      <w:r w:rsidRPr="004228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сегменту: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порядок учета операций между отчетными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сегментами;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 характер различий (если они не очевидны из результатов сопоставлений, раскрываемых в соответствии с пунктом 28 настоящего Положения)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между: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показателем прибыли (убытка) организации до налогообложения и совокупным показателем прибыли (убытка) отчетных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</w:t>
      </w:r>
      <w:r w:rsidRPr="00AF4F92">
        <w:rPr>
          <w:rFonts w:cs="Times New Roman"/>
          <w:i/>
          <w:sz w:val="24"/>
          <w:szCs w:val="24"/>
          <w:lang w:val="ru-RU"/>
        </w:rPr>
        <w:t>гментов;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показателями активов и обязательств организации и совокупными показателями активов и обязательств отчетных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сегментов;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характер изменений способов оценки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показателей,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используемых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для определения финансового результата (прибыли, убытка) отчет</w:t>
      </w:r>
      <w:r w:rsidRPr="00AF4F92">
        <w:rPr>
          <w:rFonts w:cs="Times New Roman"/>
          <w:i/>
          <w:sz w:val="24"/>
          <w:szCs w:val="24"/>
          <w:lang w:val="ru-RU"/>
        </w:rPr>
        <w:t>ного сегмента, по сравнению с предшествующими периодами и влияние таких изменений на финансовый результат (прибыль, убыток) отчетного сегмента в отчетном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периоде;</w:t>
      </w:r>
    </w:p>
    <w:p w:rsidR="00624EF3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г) описание различий в распределении данных между отчетными сегментами и их влияние на показа</w:t>
      </w:r>
      <w:r w:rsidRPr="00AF4F92">
        <w:rPr>
          <w:rFonts w:cs="Times New Roman"/>
          <w:i/>
          <w:sz w:val="24"/>
          <w:szCs w:val="24"/>
          <w:lang w:val="ru-RU"/>
        </w:rPr>
        <w:t>тели этих сегментов в случаях, когда способ распределения выручки и расходов отличается от способа распределения активов и обязательств, с которыми эти выручка и расходы связаны.</w:t>
      </w:r>
      <w:r w:rsidR="00624EF3" w:rsidRPr="00AF4F92">
        <w:rPr>
          <w:rFonts w:cs="Times New Roman"/>
          <w:i/>
          <w:sz w:val="24"/>
          <w:szCs w:val="24"/>
          <w:lang w:val="ru-RU"/>
        </w:rPr>
        <w:t xml:space="preserve"> </w:t>
      </w:r>
    </w:p>
    <w:p w:rsidR="00F977F1" w:rsidRPr="004228E7" w:rsidRDefault="000755D0" w:rsidP="00624EF3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Организация раскрывает результаты сопоставления суммарной в</w:t>
      </w:r>
      <w:r w:rsidRPr="004228E7">
        <w:rPr>
          <w:rFonts w:cs="Times New Roman"/>
          <w:sz w:val="24"/>
          <w:szCs w:val="24"/>
          <w:lang w:val="ru-RU"/>
        </w:rPr>
        <w:t>еличины следующих существенных показателей отчетных сегментов, включая показатели прочих сегментов, с величиной соответствующей статьи бухгалтерской отчетности</w:t>
      </w:r>
      <w:r w:rsidRPr="004228E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организации: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 суммарной величины выручки всех отчетных сегментов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с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показателем выручки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</w:t>
      </w:r>
      <w:r w:rsidRPr="00AF4F92">
        <w:rPr>
          <w:rFonts w:cs="Times New Roman"/>
          <w:i/>
          <w:sz w:val="24"/>
          <w:szCs w:val="24"/>
          <w:lang w:val="ru-RU"/>
        </w:rPr>
        <w:t>изации;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 xml:space="preserve">б) суммарной величины показателей прибыли (убытка) отчетных сегментов с показателем прибыли (убытка) до налогообложения либо показателем чистой прибыли (убытка) </w:t>
      </w:r>
      <w:r w:rsidRPr="00AF4F92">
        <w:rPr>
          <w:rFonts w:cs="Times New Roman"/>
          <w:i/>
          <w:sz w:val="24"/>
          <w:szCs w:val="24"/>
          <w:lang w:val="ru-RU"/>
        </w:rPr>
        <w:t xml:space="preserve">за </w:t>
      </w:r>
      <w:r w:rsidRPr="00AF4F92">
        <w:rPr>
          <w:rFonts w:cs="Times New Roman"/>
          <w:i/>
          <w:sz w:val="24"/>
          <w:szCs w:val="24"/>
          <w:lang w:val="ru-RU"/>
        </w:rPr>
        <w:t>отчетный период, если организация распределяет на отчетные сегменты налог на прибыль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организаций;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суммарной величины активов отчетных сегментов с величиной активов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г) суммарной величины обязательств отчетных сегментов с величиной обязательств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организации;</w:t>
      </w:r>
    </w:p>
    <w:p w:rsidR="00F977F1" w:rsidRPr="00AF4F92" w:rsidRDefault="00624EF3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д) суммарной</w:t>
      </w:r>
      <w:r w:rsidRPr="00AF4F92">
        <w:rPr>
          <w:rFonts w:cs="Times New Roman"/>
          <w:i/>
          <w:sz w:val="24"/>
          <w:szCs w:val="24"/>
          <w:lang w:val="ru-RU"/>
        </w:rPr>
        <w:tab/>
        <w:t xml:space="preserve">величины каждого существенного показателя, раскрываемого в отношении отчетных сегментов </w:t>
      </w:r>
      <w:r w:rsidR="000755D0" w:rsidRPr="00AF4F92">
        <w:rPr>
          <w:rFonts w:cs="Times New Roman"/>
          <w:i/>
          <w:sz w:val="24"/>
          <w:szCs w:val="24"/>
          <w:lang w:val="ru-RU"/>
        </w:rPr>
        <w:t>соответствующей статьи бухгалтерской отчетности</w:t>
      </w:r>
      <w:r w:rsidR="000755D0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="000755D0" w:rsidRPr="00AF4F92">
        <w:rPr>
          <w:rFonts w:cs="Times New Roman"/>
          <w:i/>
          <w:sz w:val="24"/>
          <w:szCs w:val="24"/>
          <w:lang w:val="ru-RU"/>
        </w:rPr>
        <w:t>организации.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62"/>
        </w:tabs>
        <w:ind w:left="139"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выручку от продаж покупателям (заказчикам) организации по каждому виду продукции, товаров, работ, услуг или однородных групп продукции, товаров, работ,</w:t>
      </w:r>
      <w:r w:rsidRPr="004228E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62"/>
        </w:tabs>
        <w:ind w:left="139"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по каждому географическому региону деятельности сле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дующую</w:t>
      </w:r>
      <w:r w:rsidRPr="004228E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информацию: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 величину выручки от продаж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покупателям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(заказчикам)</w:t>
      </w:r>
      <w:r w:rsidR="004228E7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организации, в том числе отдельно от продаж в Российской Федерации и от продаж за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рубежом;</w:t>
      </w:r>
    </w:p>
    <w:p w:rsidR="00F977F1" w:rsidRPr="00AF4F92" w:rsidRDefault="000755D0" w:rsidP="00AF4F92">
      <w:pPr>
        <w:pStyle w:val="a3"/>
        <w:tabs>
          <w:tab w:val="left" w:pos="114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 xml:space="preserve">б) стоимость внеоборотных активов по данным бухгалтерского баланса организации, в том </w:t>
      </w:r>
      <w:r w:rsidRPr="00AF4F92">
        <w:rPr>
          <w:rFonts w:cs="Times New Roman"/>
          <w:i/>
          <w:sz w:val="24"/>
          <w:szCs w:val="24"/>
          <w:lang w:val="ru-RU"/>
        </w:rPr>
        <w:lastRenderedPageBreak/>
        <w:t>чи</w:t>
      </w:r>
      <w:r w:rsidRPr="00AF4F92">
        <w:rPr>
          <w:rFonts w:cs="Times New Roman"/>
          <w:i/>
          <w:sz w:val="24"/>
          <w:szCs w:val="24"/>
          <w:lang w:val="ru-RU"/>
        </w:rPr>
        <w:t>сле размещенных на территории Российской Федерации, размещенных за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рубежом.</w:t>
      </w:r>
    </w:p>
    <w:p w:rsidR="00F977F1" w:rsidRPr="004228E7" w:rsidRDefault="000755D0" w:rsidP="004228E7">
      <w:pPr>
        <w:pStyle w:val="a3"/>
        <w:spacing w:before="0"/>
        <w:ind w:left="139"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Если величина выручки от продаж, полученной в отдельной стране, или стоимость внеоборотных активов по данным бухгалтерского баланса организации, размещенных на территории отдельной</w:t>
      </w:r>
      <w:r w:rsidRPr="004228E7">
        <w:rPr>
          <w:rFonts w:cs="Times New Roman"/>
          <w:sz w:val="24"/>
          <w:szCs w:val="24"/>
          <w:lang w:val="ru-RU"/>
        </w:rPr>
        <w:t xml:space="preserve"> страны, является существенной, такой показатель раскрывается обособленно. При этом организация должна раскрыть правила отнесения выручки от продаж к отдельным</w:t>
      </w:r>
      <w:r w:rsidRPr="004228E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странам.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62"/>
        </w:tabs>
        <w:ind w:left="139"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следующую информацию о покупателях (заказчиках), выручка от прод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аж которым составляет не менее 10 процентов общей выручки от продаж покупателям (заказчикам)</w:t>
      </w:r>
      <w:r w:rsidRPr="004228E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организации:</w:t>
      </w:r>
    </w:p>
    <w:p w:rsidR="00F977F1" w:rsidRPr="00AF4F92" w:rsidRDefault="000755D0" w:rsidP="00AF4F92">
      <w:pPr>
        <w:pStyle w:val="a3"/>
        <w:tabs>
          <w:tab w:val="left" w:pos="116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а)</w:t>
      </w:r>
      <w:r w:rsidR="00624EF3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наименование покупателя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(заказчика);</w:t>
      </w:r>
    </w:p>
    <w:p w:rsidR="00624EF3" w:rsidRPr="00AF4F92" w:rsidRDefault="000755D0" w:rsidP="00AF4F92">
      <w:pPr>
        <w:pStyle w:val="a3"/>
        <w:tabs>
          <w:tab w:val="left" w:pos="116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б)</w:t>
      </w:r>
      <w:r w:rsidR="00624EF3"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общая величина выручки от продаж такому покупателю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(заказчику);</w:t>
      </w:r>
    </w:p>
    <w:p w:rsidR="00F977F1" w:rsidRPr="00AF4F92" w:rsidRDefault="000755D0" w:rsidP="00AF4F92">
      <w:pPr>
        <w:pStyle w:val="a3"/>
        <w:tabs>
          <w:tab w:val="left" w:pos="1161"/>
        </w:tabs>
        <w:spacing w:before="0"/>
        <w:ind w:left="0" w:right="-30" w:firstLine="685"/>
        <w:jc w:val="both"/>
        <w:rPr>
          <w:rFonts w:cs="Times New Roman"/>
          <w:i/>
          <w:sz w:val="24"/>
          <w:szCs w:val="24"/>
          <w:lang w:val="ru-RU"/>
        </w:rPr>
      </w:pPr>
      <w:r w:rsidRPr="00AF4F92">
        <w:rPr>
          <w:rFonts w:cs="Times New Roman"/>
          <w:i/>
          <w:sz w:val="24"/>
          <w:szCs w:val="24"/>
          <w:lang w:val="ru-RU"/>
        </w:rPr>
        <w:t>в) наименование отчетного</w:t>
      </w:r>
      <w:r w:rsidRPr="00AF4F92">
        <w:rPr>
          <w:rFonts w:cs="Times New Roman"/>
          <w:i/>
          <w:sz w:val="24"/>
          <w:szCs w:val="24"/>
          <w:lang w:val="ru-RU"/>
        </w:rPr>
        <w:t xml:space="preserve"> сегмента (отчетных сегментов), к которому относится данная</w:t>
      </w:r>
      <w:r w:rsidRPr="00AF4F92">
        <w:rPr>
          <w:rFonts w:cs="Times New Roman"/>
          <w:i/>
          <w:sz w:val="24"/>
          <w:szCs w:val="24"/>
          <w:lang w:val="ru-RU"/>
        </w:rPr>
        <w:t xml:space="preserve"> </w:t>
      </w:r>
      <w:r w:rsidRPr="00AF4F92">
        <w:rPr>
          <w:rFonts w:cs="Times New Roman"/>
          <w:i/>
          <w:sz w:val="24"/>
          <w:szCs w:val="24"/>
          <w:lang w:val="ru-RU"/>
        </w:rPr>
        <w:t>выручка.</w:t>
      </w:r>
    </w:p>
    <w:p w:rsidR="00F977F1" w:rsidRPr="004228E7" w:rsidRDefault="000755D0" w:rsidP="004228E7">
      <w:pPr>
        <w:pStyle w:val="a4"/>
        <w:numPr>
          <w:ilvl w:val="0"/>
          <w:numId w:val="1"/>
        </w:numPr>
        <w:tabs>
          <w:tab w:val="left" w:pos="1142"/>
        </w:tabs>
        <w:ind w:right="-3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8E7">
        <w:rPr>
          <w:rFonts w:ascii="Times New Roman" w:hAnsi="Times New Roman" w:cs="Times New Roman"/>
          <w:sz w:val="24"/>
          <w:szCs w:val="24"/>
          <w:lang w:val="ru-RU"/>
        </w:rPr>
        <w:t xml:space="preserve">При изменении в отчетном периоде структуры отчетных сегментов сравнительная информация за периоды, предшествующие отчетному, должна быть пересчитана в соответствии с новой структурой отчетных сегментов, </w:t>
      </w:r>
      <w:r w:rsidRPr="004228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когда такая информация отсутс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твует и такой пересчет противоречит требованию рациональности. При этом пересчету подлежит сравнительная информация по каждому показателю отчетного</w:t>
      </w:r>
      <w:r w:rsidRPr="004228E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28E7">
        <w:rPr>
          <w:rFonts w:ascii="Times New Roman" w:hAnsi="Times New Roman" w:cs="Times New Roman"/>
          <w:sz w:val="24"/>
          <w:szCs w:val="24"/>
          <w:lang w:val="ru-RU"/>
        </w:rPr>
        <w:t>сегмента.</w:t>
      </w:r>
    </w:p>
    <w:p w:rsidR="00F977F1" w:rsidRPr="004228E7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Случаи пересчета (невозможности такого пересчета) подлежат раскрытию в составе информации по отчет</w:t>
      </w:r>
      <w:r w:rsidRPr="004228E7">
        <w:rPr>
          <w:rFonts w:cs="Times New Roman"/>
          <w:sz w:val="24"/>
          <w:szCs w:val="24"/>
          <w:lang w:val="ru-RU"/>
        </w:rPr>
        <w:t>ным</w:t>
      </w:r>
      <w:r w:rsidRPr="004228E7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сегментам.</w:t>
      </w:r>
    </w:p>
    <w:p w:rsidR="00F977F1" w:rsidRPr="004228E7" w:rsidRDefault="000755D0" w:rsidP="004228E7">
      <w:pPr>
        <w:pStyle w:val="a3"/>
        <w:spacing w:before="0"/>
        <w:ind w:right="-30"/>
        <w:jc w:val="both"/>
        <w:rPr>
          <w:rFonts w:cs="Times New Roman"/>
          <w:sz w:val="24"/>
          <w:szCs w:val="24"/>
          <w:lang w:val="ru-RU"/>
        </w:rPr>
      </w:pPr>
      <w:r w:rsidRPr="004228E7">
        <w:rPr>
          <w:rFonts w:cs="Times New Roman"/>
          <w:sz w:val="24"/>
          <w:szCs w:val="24"/>
          <w:lang w:val="ru-RU"/>
        </w:rPr>
        <w:t>Если сравнительная информация не пересчитана в соответствии с новой структурой отчетных сегментов, информация по сегментам за отчетный период должна быть представлена в разрезе как прежней, так и новой структуры</w:t>
      </w:r>
      <w:r w:rsidRPr="004228E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4228E7">
        <w:rPr>
          <w:rFonts w:cs="Times New Roman"/>
          <w:sz w:val="24"/>
          <w:szCs w:val="24"/>
          <w:lang w:val="ru-RU"/>
        </w:rPr>
        <w:t>сегментов.</w:t>
      </w:r>
    </w:p>
    <w:sectPr w:rsidR="00F977F1" w:rsidRPr="004228E7" w:rsidSect="004228E7">
      <w:headerReference w:type="default" r:id="rId7"/>
      <w:footerReference w:type="default" r:id="rId8"/>
      <w:pgSz w:w="11900" w:h="16840"/>
      <w:pgMar w:top="720" w:right="560" w:bottom="720" w:left="720" w:header="7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D0" w:rsidRDefault="000755D0">
      <w:r>
        <w:separator/>
      </w:r>
    </w:p>
  </w:endnote>
  <w:endnote w:type="continuationSeparator" w:id="0">
    <w:p w:rsidR="000755D0" w:rsidRDefault="0007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139200"/>
      <w:docPartObj>
        <w:docPartGallery w:val="Page Numbers (Bottom of Page)"/>
        <w:docPartUnique/>
      </w:docPartObj>
    </w:sdtPr>
    <w:sdtContent>
      <w:p w:rsidR="004228E7" w:rsidRDefault="004228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02" w:rsidRPr="000C6A02">
          <w:rPr>
            <w:noProof/>
            <w:lang w:val="ru-RU"/>
          </w:rPr>
          <w:t>1</w:t>
        </w:r>
        <w:r>
          <w:fldChar w:fldCharType="end"/>
        </w:r>
      </w:p>
    </w:sdtContent>
  </w:sdt>
  <w:p w:rsidR="004228E7" w:rsidRDefault="004228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D0" w:rsidRDefault="000755D0">
      <w:r>
        <w:separator/>
      </w:r>
    </w:p>
  </w:footnote>
  <w:footnote w:type="continuationSeparator" w:id="0">
    <w:p w:rsidR="000755D0" w:rsidRDefault="0007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F1" w:rsidRDefault="000755D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pt;margin-top:38.6pt;width:10pt;height:14pt;z-index:-251658752;mso-position-horizontal-relative:page;mso-position-vertical-relative:page" filled="f" stroked="f">
          <v:textbox style="mso-next-textbox:#_x0000_s2049" inset="0,0,0,0">
            <w:txbxContent>
              <w:p w:rsidR="00F977F1" w:rsidRDefault="000755D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6A0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6D4"/>
    <w:multiLevelType w:val="hybridMultilevel"/>
    <w:tmpl w:val="08085906"/>
    <w:lvl w:ilvl="0" w:tplc="B70A8AAC">
      <w:start w:val="1"/>
      <w:numFmt w:val="upperRoman"/>
      <w:lvlText w:val="%1."/>
      <w:lvlJc w:val="left"/>
      <w:pPr>
        <w:ind w:left="3906" w:hanging="567"/>
        <w:jc w:val="right"/>
      </w:pPr>
      <w:rPr>
        <w:rFonts w:ascii="Times New Roman" w:eastAsia="Times New Roman" w:hAnsi="Times New Roman" w:hint="default"/>
        <w:b/>
        <w:bCs/>
        <w:spacing w:val="0"/>
        <w:w w:val="99"/>
        <w:sz w:val="28"/>
        <w:szCs w:val="28"/>
      </w:rPr>
    </w:lvl>
    <w:lvl w:ilvl="1" w:tplc="5C246C72">
      <w:start w:val="1"/>
      <w:numFmt w:val="bullet"/>
      <w:lvlText w:val="•"/>
      <w:lvlJc w:val="left"/>
      <w:pPr>
        <w:ind w:left="4468" w:hanging="567"/>
      </w:pPr>
      <w:rPr>
        <w:rFonts w:hint="default"/>
      </w:rPr>
    </w:lvl>
    <w:lvl w:ilvl="2" w:tplc="B4FC9650">
      <w:start w:val="1"/>
      <w:numFmt w:val="bullet"/>
      <w:lvlText w:val="•"/>
      <w:lvlJc w:val="left"/>
      <w:pPr>
        <w:ind w:left="5036" w:hanging="567"/>
      </w:pPr>
      <w:rPr>
        <w:rFonts w:hint="default"/>
      </w:rPr>
    </w:lvl>
    <w:lvl w:ilvl="3" w:tplc="0AF47800">
      <w:start w:val="1"/>
      <w:numFmt w:val="bullet"/>
      <w:lvlText w:val="•"/>
      <w:lvlJc w:val="left"/>
      <w:pPr>
        <w:ind w:left="5604" w:hanging="567"/>
      </w:pPr>
      <w:rPr>
        <w:rFonts w:hint="default"/>
      </w:rPr>
    </w:lvl>
    <w:lvl w:ilvl="4" w:tplc="3054659A">
      <w:start w:val="1"/>
      <w:numFmt w:val="bullet"/>
      <w:lvlText w:val="•"/>
      <w:lvlJc w:val="left"/>
      <w:pPr>
        <w:ind w:left="6172" w:hanging="567"/>
      </w:pPr>
      <w:rPr>
        <w:rFonts w:hint="default"/>
      </w:rPr>
    </w:lvl>
    <w:lvl w:ilvl="5" w:tplc="64AA23BC">
      <w:start w:val="1"/>
      <w:numFmt w:val="bullet"/>
      <w:lvlText w:val="•"/>
      <w:lvlJc w:val="left"/>
      <w:pPr>
        <w:ind w:left="6740" w:hanging="567"/>
      </w:pPr>
      <w:rPr>
        <w:rFonts w:hint="default"/>
      </w:rPr>
    </w:lvl>
    <w:lvl w:ilvl="6" w:tplc="42D44B08">
      <w:start w:val="1"/>
      <w:numFmt w:val="bullet"/>
      <w:lvlText w:val="•"/>
      <w:lvlJc w:val="left"/>
      <w:pPr>
        <w:ind w:left="7308" w:hanging="567"/>
      </w:pPr>
      <w:rPr>
        <w:rFonts w:hint="default"/>
      </w:rPr>
    </w:lvl>
    <w:lvl w:ilvl="7" w:tplc="E95C20F8">
      <w:start w:val="1"/>
      <w:numFmt w:val="bullet"/>
      <w:lvlText w:val="•"/>
      <w:lvlJc w:val="left"/>
      <w:pPr>
        <w:ind w:left="7876" w:hanging="567"/>
      </w:pPr>
      <w:rPr>
        <w:rFonts w:hint="default"/>
      </w:rPr>
    </w:lvl>
    <w:lvl w:ilvl="8" w:tplc="38C683C0">
      <w:start w:val="1"/>
      <w:numFmt w:val="bullet"/>
      <w:lvlText w:val="•"/>
      <w:lvlJc w:val="left"/>
      <w:pPr>
        <w:ind w:left="8444" w:hanging="567"/>
      </w:pPr>
      <w:rPr>
        <w:rFonts w:hint="default"/>
      </w:rPr>
    </w:lvl>
  </w:abstractNum>
  <w:abstractNum w:abstractNumId="1" w15:restartNumberingAfterBreak="0">
    <w:nsid w:val="49CA0DD4"/>
    <w:multiLevelType w:val="hybridMultilevel"/>
    <w:tmpl w:val="6C568344"/>
    <w:lvl w:ilvl="0" w:tplc="0419000D">
      <w:start w:val="1"/>
      <w:numFmt w:val="bullet"/>
      <w:lvlText w:val=""/>
      <w:lvlJc w:val="left"/>
      <w:pPr>
        <w:ind w:left="1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" w15:restartNumberingAfterBreak="0">
    <w:nsid w:val="703C6E47"/>
    <w:multiLevelType w:val="hybridMultilevel"/>
    <w:tmpl w:val="D4B0012A"/>
    <w:lvl w:ilvl="0" w:tplc="096E1DDC">
      <w:start w:val="1"/>
      <w:numFmt w:val="decimal"/>
      <w:lvlText w:val="%1."/>
      <w:lvlJc w:val="left"/>
      <w:pPr>
        <w:ind w:left="119" w:hanging="4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02025D4">
      <w:start w:val="1"/>
      <w:numFmt w:val="bullet"/>
      <w:lvlText w:val="•"/>
      <w:lvlJc w:val="left"/>
      <w:pPr>
        <w:ind w:left="1066" w:hanging="456"/>
      </w:pPr>
      <w:rPr>
        <w:rFonts w:hint="default"/>
      </w:rPr>
    </w:lvl>
    <w:lvl w:ilvl="2" w:tplc="793084DE">
      <w:start w:val="1"/>
      <w:numFmt w:val="bullet"/>
      <w:lvlText w:val="•"/>
      <w:lvlJc w:val="left"/>
      <w:pPr>
        <w:ind w:left="2012" w:hanging="456"/>
      </w:pPr>
      <w:rPr>
        <w:rFonts w:hint="default"/>
      </w:rPr>
    </w:lvl>
    <w:lvl w:ilvl="3" w:tplc="A4746AE8">
      <w:start w:val="1"/>
      <w:numFmt w:val="bullet"/>
      <w:lvlText w:val="•"/>
      <w:lvlJc w:val="left"/>
      <w:pPr>
        <w:ind w:left="2958" w:hanging="456"/>
      </w:pPr>
      <w:rPr>
        <w:rFonts w:hint="default"/>
      </w:rPr>
    </w:lvl>
    <w:lvl w:ilvl="4" w:tplc="E2E408BA">
      <w:start w:val="1"/>
      <w:numFmt w:val="bullet"/>
      <w:lvlText w:val="•"/>
      <w:lvlJc w:val="left"/>
      <w:pPr>
        <w:ind w:left="3904" w:hanging="456"/>
      </w:pPr>
      <w:rPr>
        <w:rFonts w:hint="default"/>
      </w:rPr>
    </w:lvl>
    <w:lvl w:ilvl="5" w:tplc="4B6CCE74">
      <w:start w:val="1"/>
      <w:numFmt w:val="bullet"/>
      <w:lvlText w:val="•"/>
      <w:lvlJc w:val="left"/>
      <w:pPr>
        <w:ind w:left="4850" w:hanging="456"/>
      </w:pPr>
      <w:rPr>
        <w:rFonts w:hint="default"/>
      </w:rPr>
    </w:lvl>
    <w:lvl w:ilvl="6" w:tplc="E5E8AE30">
      <w:start w:val="1"/>
      <w:numFmt w:val="bullet"/>
      <w:lvlText w:val="•"/>
      <w:lvlJc w:val="left"/>
      <w:pPr>
        <w:ind w:left="5796" w:hanging="456"/>
      </w:pPr>
      <w:rPr>
        <w:rFonts w:hint="default"/>
      </w:rPr>
    </w:lvl>
    <w:lvl w:ilvl="7" w:tplc="051C51B2">
      <w:start w:val="1"/>
      <w:numFmt w:val="bullet"/>
      <w:lvlText w:val="•"/>
      <w:lvlJc w:val="left"/>
      <w:pPr>
        <w:ind w:left="6742" w:hanging="456"/>
      </w:pPr>
      <w:rPr>
        <w:rFonts w:hint="default"/>
      </w:rPr>
    </w:lvl>
    <w:lvl w:ilvl="8" w:tplc="9FD095E0">
      <w:start w:val="1"/>
      <w:numFmt w:val="bullet"/>
      <w:lvlText w:val="•"/>
      <w:lvlJc w:val="left"/>
      <w:pPr>
        <w:ind w:left="7688" w:hanging="456"/>
      </w:pPr>
      <w:rPr>
        <w:rFonts w:hint="default"/>
      </w:rPr>
    </w:lvl>
  </w:abstractNum>
  <w:abstractNum w:abstractNumId="3" w15:restartNumberingAfterBreak="0">
    <w:nsid w:val="7C6B5941"/>
    <w:multiLevelType w:val="hybridMultilevel"/>
    <w:tmpl w:val="D7603F4E"/>
    <w:lvl w:ilvl="0" w:tplc="0419000D">
      <w:start w:val="1"/>
      <w:numFmt w:val="bullet"/>
      <w:lvlText w:val=""/>
      <w:lvlJc w:val="left"/>
      <w:pPr>
        <w:ind w:left="1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77F1"/>
    <w:rsid w:val="000755D0"/>
    <w:rsid w:val="000C6A02"/>
    <w:rsid w:val="004228E7"/>
    <w:rsid w:val="00624EF3"/>
    <w:rsid w:val="00AF4F92"/>
    <w:rsid w:val="00B7127D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E1D2A"/>
  <w15:docId w15:val="{7F047DD8-1B72-4ACF-AC9C-A22BFF2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44"/>
      <w:ind w:left="1986" w:hanging="5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9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28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8E7"/>
  </w:style>
  <w:style w:type="paragraph" w:styleId="a7">
    <w:name w:val="footer"/>
    <w:basedOn w:val="a"/>
    <w:link w:val="a8"/>
    <w:uiPriority w:val="99"/>
    <w:unhideWhenUsed/>
    <w:rsid w:val="004228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8E7"/>
  </w:style>
  <w:style w:type="paragraph" w:styleId="a9">
    <w:name w:val="Balloon Text"/>
    <w:basedOn w:val="a"/>
    <w:link w:val="aa"/>
    <w:uiPriority w:val="99"/>
    <w:semiHidden/>
    <w:unhideWhenUsed/>
    <w:rsid w:val="000C6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12</vt:lpstr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12</dc:title>
  <dc:creator>1280</dc:creator>
  <cp:lastModifiedBy>Сергей Лукин</cp:lastModifiedBy>
  <cp:revision>5</cp:revision>
  <cp:lastPrinted>2019-01-17T10:40:00Z</cp:lastPrinted>
  <dcterms:created xsi:type="dcterms:W3CDTF">2015-10-09T09:05:00Z</dcterms:created>
  <dcterms:modified xsi:type="dcterms:W3CDTF">2019-01-17T10:40:00Z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Creator">
    <vt:lpwstr>Microsoft Word - ПБУ 12</vt:lpwstr>
  </property>
  <property fmtid="{D5CDD505-2E9C-101B-9397-08002B2CF9AE}" pid="4" name="LastSaved">
    <vt:filetime>2015-10-09T00:00:00Z</vt:filetime>
  </property>
</Properties>
</file>